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A9" w:rsidRDefault="009929F7" w:rsidP="00770ED2">
      <w:pPr>
        <w:pStyle w:val="Overskrift1"/>
      </w:pPr>
      <w:r>
        <w:t>Tilsynserklæring 201</w:t>
      </w:r>
      <w:r w:rsidR="00E67358">
        <w:t>8</w:t>
      </w:r>
      <w:r>
        <w:t>-1</w:t>
      </w:r>
      <w:r w:rsidR="00E67358">
        <w:t>9</w:t>
      </w:r>
      <w:r w:rsidR="00E2380C">
        <w:t xml:space="preserve"> for </w:t>
      </w:r>
      <w:r w:rsidR="004A0FEE">
        <w:t xml:space="preserve">Friskolen Vellev, </w:t>
      </w:r>
      <w:proofErr w:type="spellStart"/>
      <w:r w:rsidR="004A0FEE">
        <w:t>Skrejsbjergvej</w:t>
      </w:r>
      <w:proofErr w:type="spellEnd"/>
      <w:r w:rsidR="004A0FEE">
        <w:t xml:space="preserve"> 5, Vellev, 8860 Ulstrup</w:t>
      </w:r>
    </w:p>
    <w:p w:rsidR="00FC73B0" w:rsidRDefault="00FC73B0" w:rsidP="00FC73B0">
      <w:pPr>
        <w:shd w:val="clear" w:color="auto" w:fill="D9D9D9" w:themeFill="background1" w:themeFillShade="D9"/>
      </w:pPr>
      <w:r>
        <w:t xml:space="preserve">Fakta-oplysninger                                                                                               </w:t>
      </w:r>
    </w:p>
    <w:p w:rsidR="00E2380C" w:rsidRDefault="00E2380C">
      <w:r>
        <w:t xml:space="preserve">Skolekode </w:t>
      </w:r>
      <w:r w:rsidR="004A0FEE">
        <w:t>2800460</w:t>
      </w:r>
    </w:p>
    <w:p w:rsidR="009854EE" w:rsidRDefault="009854EE" w:rsidP="009854EE">
      <w:r>
        <w:t>Tilsynsførende: D</w:t>
      </w:r>
      <w:r w:rsidR="00916BE9">
        <w:t>ot Reinau, certificeret 2012</w:t>
      </w:r>
      <w:r>
        <w:t>.</w:t>
      </w:r>
      <w:r w:rsidR="00907D00">
        <w:t xml:space="preserve"> Ge</w:t>
      </w:r>
      <w:r w:rsidR="000F132F">
        <w:t>nc</w:t>
      </w:r>
      <w:r w:rsidR="00907D00">
        <w:t>e</w:t>
      </w:r>
      <w:r w:rsidR="000F132F">
        <w:t>rtificeret 2017</w:t>
      </w:r>
      <w:r w:rsidR="00907D00">
        <w:t>.</w:t>
      </w:r>
    </w:p>
    <w:p w:rsidR="00FC73B0" w:rsidRDefault="002F0B43" w:rsidP="00FC73B0">
      <w:pPr>
        <w:tabs>
          <w:tab w:val="left" w:pos="2471"/>
        </w:tabs>
        <w:spacing w:after="0"/>
        <w:rPr>
          <w:b/>
        </w:rPr>
      </w:pPr>
      <w:r>
        <w:rPr>
          <w:b/>
        </w:rPr>
        <w:t>Tilsynsbesøg 201</w:t>
      </w:r>
      <w:r w:rsidR="002000AB">
        <w:rPr>
          <w:b/>
        </w:rPr>
        <w:t>8</w:t>
      </w:r>
      <w:r>
        <w:rPr>
          <w:b/>
        </w:rPr>
        <w:t>-1</w:t>
      </w:r>
      <w:r w:rsidR="002000AB">
        <w:rPr>
          <w:b/>
        </w:rPr>
        <w:t>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8"/>
        <w:gridCol w:w="1475"/>
        <w:gridCol w:w="2320"/>
        <w:gridCol w:w="2400"/>
        <w:gridCol w:w="2365"/>
      </w:tblGrid>
      <w:tr w:rsidR="002000AB" w:rsidRPr="00265168" w:rsidTr="004A0FEE">
        <w:tc>
          <w:tcPr>
            <w:tcW w:w="1068" w:type="dxa"/>
          </w:tcPr>
          <w:p w:rsidR="002000AB" w:rsidRDefault="002000AB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Dato</w:t>
            </w:r>
          </w:p>
        </w:tc>
        <w:tc>
          <w:tcPr>
            <w:tcW w:w="1475" w:type="dxa"/>
          </w:tcPr>
          <w:p w:rsidR="002000AB" w:rsidRDefault="002000AB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Klasse</w:t>
            </w:r>
          </w:p>
          <w:p w:rsidR="00F76E2C" w:rsidRPr="00265168" w:rsidRDefault="00F76E2C" w:rsidP="00853D4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</w:tcPr>
          <w:p w:rsidR="002000AB" w:rsidRDefault="002000AB" w:rsidP="00853D4D">
            <w:pPr>
              <w:rPr>
                <w:color w:val="000000" w:themeColor="text1"/>
                <w:sz w:val="24"/>
                <w:szCs w:val="24"/>
              </w:rPr>
            </w:pPr>
            <w:r w:rsidRPr="00265168">
              <w:rPr>
                <w:color w:val="000000" w:themeColor="text1"/>
                <w:sz w:val="24"/>
                <w:szCs w:val="24"/>
              </w:rPr>
              <w:t xml:space="preserve">Fag </w:t>
            </w:r>
          </w:p>
          <w:p w:rsidR="00F76E2C" w:rsidRPr="00265168" w:rsidRDefault="00F76E2C" w:rsidP="00853D4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2000AB" w:rsidRDefault="002000AB" w:rsidP="00853D4D">
            <w:pPr>
              <w:rPr>
                <w:color w:val="000000" w:themeColor="text1"/>
                <w:sz w:val="24"/>
                <w:szCs w:val="24"/>
              </w:rPr>
            </w:pPr>
            <w:r w:rsidRPr="00265168">
              <w:rPr>
                <w:color w:val="000000" w:themeColor="text1"/>
                <w:sz w:val="24"/>
                <w:szCs w:val="24"/>
              </w:rPr>
              <w:t>Fagområde</w:t>
            </w:r>
          </w:p>
          <w:p w:rsidR="00F76E2C" w:rsidRPr="00265168" w:rsidRDefault="00F76E2C" w:rsidP="00853D4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2000AB" w:rsidRPr="00265168" w:rsidRDefault="002000AB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Tilsynsførende </w:t>
            </w:r>
          </w:p>
        </w:tc>
      </w:tr>
      <w:tr w:rsidR="004A0FEE" w:rsidRPr="00265168" w:rsidTr="004A0FEE">
        <w:tc>
          <w:tcPr>
            <w:tcW w:w="1068" w:type="dxa"/>
          </w:tcPr>
          <w:p w:rsidR="004A0FEE" w:rsidRDefault="004A0FEE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25.10.18</w:t>
            </w:r>
          </w:p>
        </w:tc>
        <w:tc>
          <w:tcPr>
            <w:tcW w:w="1475" w:type="dxa"/>
          </w:tcPr>
          <w:p w:rsidR="004A0FEE" w:rsidRDefault="004A0FEE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</w:p>
          <w:p w:rsidR="004A0FEE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5_6</w:t>
            </w:r>
          </w:p>
          <w:p w:rsidR="005A5005" w:rsidRPr="00265168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Hold 6</w:t>
            </w:r>
          </w:p>
        </w:tc>
        <w:tc>
          <w:tcPr>
            <w:tcW w:w="2320" w:type="dxa"/>
          </w:tcPr>
          <w:p w:rsidR="004A0FEE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4A0FEE">
              <w:rPr>
                <w:color w:val="000000" w:themeColor="text1"/>
              </w:rPr>
              <w:t>ansk</w:t>
            </w:r>
          </w:p>
          <w:p w:rsidR="005A5005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</w:t>
            </w:r>
          </w:p>
          <w:p w:rsidR="005A5005" w:rsidRPr="00265168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Tysk</w:t>
            </w:r>
          </w:p>
        </w:tc>
        <w:tc>
          <w:tcPr>
            <w:tcW w:w="2400" w:type="dxa"/>
          </w:tcPr>
          <w:p w:rsidR="004A0FEE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4A0FEE">
              <w:rPr>
                <w:color w:val="000000" w:themeColor="text1"/>
              </w:rPr>
              <w:t>umanistisk</w:t>
            </w:r>
          </w:p>
          <w:p w:rsidR="005A5005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Naturvidenskabelig</w:t>
            </w:r>
          </w:p>
          <w:p w:rsidR="005A5005" w:rsidRPr="00265168" w:rsidRDefault="005A5005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Humanistisk faggruppe</w:t>
            </w:r>
          </w:p>
        </w:tc>
        <w:tc>
          <w:tcPr>
            <w:tcW w:w="2365" w:type="dxa"/>
          </w:tcPr>
          <w:p w:rsidR="004A0FEE" w:rsidRDefault="004A0FEE" w:rsidP="00853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</w:t>
            </w:r>
          </w:p>
        </w:tc>
      </w:tr>
      <w:tr w:rsidR="002000AB" w:rsidRPr="00265168" w:rsidTr="004A0FEE">
        <w:tc>
          <w:tcPr>
            <w:tcW w:w="1068" w:type="dxa"/>
          </w:tcPr>
          <w:p w:rsidR="002000AB" w:rsidRDefault="004A0FEE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</w:t>
            </w:r>
            <w:r w:rsidR="00F76E2C">
              <w:rPr>
                <w:color w:val="000000" w:themeColor="text1"/>
                <w:sz w:val="24"/>
                <w:szCs w:val="24"/>
              </w:rPr>
              <w:t>.19</w:t>
            </w:r>
          </w:p>
          <w:p w:rsidR="002000AB" w:rsidRPr="00265168" w:rsidRDefault="002000AB" w:rsidP="00853D4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E92FDF" w:rsidRDefault="00E92FDF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Hold 3</w:t>
            </w:r>
          </w:p>
          <w:p w:rsidR="00F76E2C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Hold 4</w:t>
            </w:r>
          </w:p>
          <w:p w:rsidR="005A5005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Hold 6</w:t>
            </w:r>
          </w:p>
          <w:p w:rsidR="005A5005" w:rsidRPr="00265168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Hold 5</w:t>
            </w:r>
          </w:p>
        </w:tc>
        <w:tc>
          <w:tcPr>
            <w:tcW w:w="2320" w:type="dxa"/>
          </w:tcPr>
          <w:p w:rsidR="00E92FDF" w:rsidRDefault="00891976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Dansk</w:t>
            </w:r>
          </w:p>
          <w:p w:rsidR="00F76E2C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Engelsk</w:t>
            </w:r>
          </w:p>
          <w:p w:rsidR="005A5005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Historie/religion</w:t>
            </w:r>
          </w:p>
          <w:p w:rsidR="005A5005" w:rsidRPr="00265168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Tysk</w:t>
            </w:r>
          </w:p>
        </w:tc>
        <w:tc>
          <w:tcPr>
            <w:tcW w:w="2400" w:type="dxa"/>
          </w:tcPr>
          <w:p w:rsidR="00E92FDF" w:rsidRDefault="00891976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Humanistisk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faggr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000AB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Humanistisk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faggr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Humanistiks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faggr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5A5005" w:rsidRPr="00265168" w:rsidRDefault="005A5005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Humanistisk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faggr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2000AB" w:rsidRDefault="002000AB" w:rsidP="00853D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</w:t>
            </w:r>
          </w:p>
          <w:p w:rsidR="002000AB" w:rsidRDefault="002000AB" w:rsidP="00853D4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00AB" w:rsidRDefault="002000AB" w:rsidP="00FC73B0">
      <w:pPr>
        <w:tabs>
          <w:tab w:val="left" w:pos="2471"/>
        </w:tabs>
        <w:spacing w:after="0"/>
        <w:rPr>
          <w:b/>
        </w:rPr>
      </w:pPr>
    </w:p>
    <w:p w:rsidR="00FC73B0" w:rsidRDefault="009929F7" w:rsidP="00432A52">
      <w:pPr>
        <w:tabs>
          <w:tab w:val="left" w:pos="2471"/>
        </w:tabs>
      </w:pPr>
      <w:r>
        <w:t>T</w:t>
      </w:r>
      <w:r w:rsidR="005411C4">
        <w:t xml:space="preserve">ilsynet udføres ud fra </w:t>
      </w:r>
      <w:r w:rsidR="005D223C">
        <w:t>lov</w:t>
      </w:r>
      <w:r w:rsidR="005411C4">
        <w:t>bekendtgørelse om friskoler og private</w:t>
      </w:r>
      <w:r w:rsidR="005D223C">
        <w:t xml:space="preserve"> grundskoler</w:t>
      </w:r>
      <w:r w:rsidR="005411C4">
        <w:t>.</w:t>
      </w:r>
    </w:p>
    <w:p w:rsidR="007B39A5" w:rsidRDefault="00E97B9F" w:rsidP="00432A52">
      <w:pPr>
        <w:tabs>
          <w:tab w:val="left" w:pos="2471"/>
        </w:tabs>
      </w:pPr>
      <w:r>
        <w:t>Skolen anvender</w:t>
      </w:r>
      <w:r w:rsidR="003E2DAF">
        <w:t xml:space="preserve"> blandt andet</w:t>
      </w:r>
      <w:r>
        <w:t xml:space="preserve">: </w:t>
      </w:r>
      <w:proofErr w:type="spellStart"/>
      <w:r w:rsidR="005A5005">
        <w:t>Kontext</w:t>
      </w:r>
      <w:proofErr w:type="spellEnd"/>
      <w:r w:rsidR="005A5005">
        <w:t xml:space="preserve"> fra Alinea</w:t>
      </w:r>
      <w:r>
        <w:t xml:space="preserve"> i matematik</w:t>
      </w:r>
      <w:r w:rsidR="005A5005">
        <w:t>. I alle fag DGI</w:t>
      </w:r>
      <w:r w:rsidR="007B39A5">
        <w:t>-</w:t>
      </w:r>
      <w:r w:rsidR="005A5005">
        <w:t>øvelser i undervisningen, hvis det passer ind i undervisningen.</w:t>
      </w:r>
      <w:r w:rsidR="00A279FC">
        <w:t xml:space="preserve"> Der anvendes PC-er og materiale fra nettet.</w:t>
      </w:r>
      <w:r w:rsidR="007B39A5">
        <w:t xml:space="preserve"> </w:t>
      </w:r>
    </w:p>
    <w:p w:rsidR="007B39A5" w:rsidRDefault="007B39A5" w:rsidP="00432A52">
      <w:pPr>
        <w:tabs>
          <w:tab w:val="left" w:pos="2471"/>
        </w:tabs>
      </w:pPr>
      <w:r>
        <w:t>Skolens elever øver og opfører hvert år en musica</w:t>
      </w:r>
      <w:r w:rsidR="00933CFA">
        <w:t>l, som opføres til den årlige skolefest.</w:t>
      </w:r>
    </w:p>
    <w:p w:rsidR="00432A52" w:rsidRDefault="00432A52" w:rsidP="00432A52">
      <w:pPr>
        <w:tabs>
          <w:tab w:val="left" w:pos="2471"/>
        </w:tabs>
      </w:pPr>
      <w:r>
        <w:t xml:space="preserve">Skolen </w:t>
      </w:r>
      <w:r w:rsidR="00B16A87">
        <w:t>oplyser at der ikke er modtaget donationer for over 20.00</w:t>
      </w:r>
      <w:r w:rsidR="00785FA8">
        <w:t>0</w:t>
      </w:r>
      <w:r w:rsidR="00B16A87">
        <w:t xml:space="preserve"> kr.</w:t>
      </w:r>
    </w:p>
    <w:p w:rsidR="005D43A3" w:rsidRDefault="001A369F" w:rsidP="00865D82">
      <w:pPr>
        <w:tabs>
          <w:tab w:val="left" w:pos="2471"/>
        </w:tabs>
        <w:spacing w:after="0"/>
      </w:pPr>
      <w:r>
        <w:t xml:space="preserve">  </w:t>
      </w:r>
      <w:r w:rsidR="00B16A87">
        <w:t xml:space="preserve"> </w:t>
      </w:r>
    </w:p>
    <w:p w:rsidR="00865D82" w:rsidRDefault="00203BFC" w:rsidP="00865D82">
      <w:pPr>
        <w:shd w:val="clear" w:color="auto" w:fill="D9D9D9" w:themeFill="background1" w:themeFillShade="D9"/>
        <w:tabs>
          <w:tab w:val="left" w:pos="2471"/>
        </w:tabs>
      </w:pPr>
      <w:bookmarkStart w:id="0" w:name="_Hlk5531763"/>
      <w:r>
        <w:t>Beskrivelse af tilsynsbesøg</w:t>
      </w:r>
      <w:r w:rsidR="00865D82">
        <w:t xml:space="preserve">                                        </w:t>
      </w:r>
    </w:p>
    <w:bookmarkEnd w:id="0"/>
    <w:p w:rsidR="00A279FC" w:rsidRDefault="00203BFC" w:rsidP="00B16A87">
      <w:pPr>
        <w:tabs>
          <w:tab w:val="left" w:pos="2471"/>
        </w:tabs>
      </w:pPr>
      <w:r>
        <w:t>Morgensamling med sang,</w:t>
      </w:r>
      <w:r w:rsidR="00A279FC">
        <w:t xml:space="preserve"> fortælling</w:t>
      </w:r>
      <w:r>
        <w:t xml:space="preserve"> og meddelelser</w:t>
      </w:r>
    </w:p>
    <w:p w:rsidR="00A279FC" w:rsidRDefault="002F5B31" w:rsidP="00B16A87">
      <w:pPr>
        <w:tabs>
          <w:tab w:val="left" w:pos="2471"/>
        </w:tabs>
      </w:pPr>
      <w:r>
        <w:t xml:space="preserve">I matematik </w:t>
      </w:r>
      <w:r w:rsidR="007B39A5">
        <w:t>viser eleverne mundtligt</w:t>
      </w:r>
      <w:r w:rsidR="0029074C">
        <w:t>,</w:t>
      </w:r>
      <w:r w:rsidR="007B39A5">
        <w:t xml:space="preserve"> hvad de ved om fx procent. Læreren udfordrer elevernes forståelse. Læreren anerkender at hjerner arbejder forskelligt, det giver sig udslag i</w:t>
      </w:r>
      <w:r w:rsidR="0029074C">
        <w:t>,</w:t>
      </w:r>
      <w:r w:rsidR="007B39A5">
        <w:t xml:space="preserve"> at flere fremgangsmåder til at løse udfordringen er accepteret. Eleverne arbejder sammen to og to eller tre. Den legelignende tilgang optager eleverne. Der arbejdes i grundbog</w:t>
      </w:r>
      <w:r w:rsidR="0029074C">
        <w:t>,</w:t>
      </w:r>
      <w:r w:rsidR="007B39A5">
        <w:t xml:space="preserve"> og der øves tabeller med DGI-øvelser.</w:t>
      </w:r>
    </w:p>
    <w:p w:rsidR="00A279FC" w:rsidRDefault="00E375B2" w:rsidP="00B16A87">
      <w:pPr>
        <w:tabs>
          <w:tab w:val="left" w:pos="2471"/>
        </w:tabs>
      </w:pPr>
      <w:r>
        <w:t>I dansk</w:t>
      </w:r>
      <w:r w:rsidR="007B39A5">
        <w:t xml:space="preserve"> læser </w:t>
      </w:r>
      <w:r w:rsidR="007B39A5">
        <w:t>eleverne</w:t>
      </w:r>
      <w:r w:rsidR="007B39A5">
        <w:t xml:space="preserve"> bøger af forskellig sværhedsgrad.</w:t>
      </w:r>
      <w:r w:rsidR="00E92FDF">
        <w:t xml:space="preserve"> Læreren har været på biblioteket i Ulstrup for at låne bøger, der udfordrer eleverne på </w:t>
      </w:r>
      <w:r w:rsidR="00933CFA">
        <w:t xml:space="preserve">deres </w:t>
      </w:r>
      <w:r w:rsidR="00E92FDF">
        <w:t>interesser.</w:t>
      </w:r>
      <w:r w:rsidR="007B39A5">
        <w:t xml:space="preserve"> Det er fagbøger eller fiktion, og det er også læse let bøger.</w:t>
      </w:r>
      <w:r w:rsidR="00E92FDF">
        <w:t xml:space="preserve"> </w:t>
      </w:r>
      <w:r w:rsidR="007B39A5">
        <w:t>Eleverne arbejder med læseprøver</w:t>
      </w:r>
      <w:r w:rsidR="00933CFA">
        <w:t xml:space="preserve"> samt</w:t>
      </w:r>
      <w:r w:rsidR="00E92FDF">
        <w:t xml:space="preserve"> opgavebøger med stavetræning og grammatik. Der bliver også tid til</w:t>
      </w:r>
      <w:r w:rsidR="00933CFA">
        <w:t>,</w:t>
      </w:r>
      <w:r w:rsidR="00E92FDF">
        <w:t xml:space="preserve"> at læreren læser op for klassen</w:t>
      </w:r>
    </w:p>
    <w:p w:rsidR="00A279FC" w:rsidRDefault="00A279FC" w:rsidP="00B16A87">
      <w:pPr>
        <w:tabs>
          <w:tab w:val="left" w:pos="2471"/>
        </w:tabs>
      </w:pPr>
      <w:r>
        <w:t>I tysk og engelsk</w:t>
      </w:r>
      <w:r w:rsidR="007B39A5">
        <w:t xml:space="preserve"> </w:t>
      </w:r>
      <w:r w:rsidR="00891976">
        <w:t xml:space="preserve">trænes udsagnsord og deres bøjning i ental og flertal 1.,2.,3. person. Der trænes sætningsopbygning, og ordforrådet søges forøget gennem forskellige tilgange. </w:t>
      </w:r>
      <w:r w:rsidR="00933CFA">
        <w:t xml:space="preserve">I </w:t>
      </w:r>
      <w:r w:rsidR="00891976">
        <w:lastRenderedPageBreak/>
        <w:t>læsebånd på engelsk skal eleverne fx selv finde de ord</w:t>
      </w:r>
      <w:r w:rsidR="00933CFA">
        <w:t>,</w:t>
      </w:r>
      <w:r w:rsidR="00891976">
        <w:t xml:space="preserve"> de ikke umiddelbart kender. Ordene skrives op</w:t>
      </w:r>
      <w:r w:rsidR="00933CFA">
        <w:t>,</w:t>
      </w:r>
      <w:r w:rsidR="00891976">
        <w:t xml:space="preserve"> og hele klassen er med</w:t>
      </w:r>
      <w:r w:rsidR="00933CFA">
        <w:t>,</w:t>
      </w:r>
      <w:r w:rsidR="00891976">
        <w:t xml:space="preserve"> når de skal finde ud af</w:t>
      </w:r>
      <w:r w:rsidR="00933CFA">
        <w:t>,</w:t>
      </w:r>
      <w:r w:rsidR="00891976">
        <w:t xml:space="preserve"> hvad ordene betyder. Der kommer forslag, som forklaringer på engelsk fra eleverne</w:t>
      </w:r>
      <w:r w:rsidR="009F50D7">
        <w:t>,</w:t>
      </w:r>
      <w:r w:rsidR="00891976">
        <w:t xml:space="preserve"> eller blot det danske ord for glosen. Samtidig er der opmærksomhed på det grammatiske, som fx flertalsendelse</w:t>
      </w:r>
      <w:r w:rsidR="009F50D7">
        <w:t>s</w:t>
      </w:r>
      <w:r w:rsidR="00891976">
        <w:t xml:space="preserve"> -s ved navneord på engelsk.</w:t>
      </w:r>
      <w:r w:rsidR="007C05D8">
        <w:t xml:space="preserve"> Legende tilgang i træning af nye ord fx finder eleverne 5 ting som de skjuler under et klæde. De andre elever skal føle sig frem til, hvad det er, og de skal fortælle på engelsk, hvad de kan mærke.</w:t>
      </w:r>
      <w:r w:rsidR="00891976">
        <w:t xml:space="preserve"> </w:t>
      </w:r>
    </w:p>
    <w:p w:rsidR="00A279FC" w:rsidRDefault="00A279FC" w:rsidP="00B16A87">
      <w:pPr>
        <w:tabs>
          <w:tab w:val="left" w:pos="2471"/>
        </w:tabs>
      </w:pPr>
      <w:r>
        <w:t>I Historie/religion</w:t>
      </w:r>
      <w:r w:rsidR="00891976">
        <w:t xml:space="preserve"> </w:t>
      </w:r>
      <w:r w:rsidR="00E8331A">
        <w:t xml:space="preserve">arbejdes i temaer. </w:t>
      </w:r>
      <w:r w:rsidR="008C64E7">
        <w:t>J</w:t>
      </w:r>
      <w:r w:rsidR="00E8331A">
        <w:t xml:space="preserve">eg overværer temaet </w:t>
      </w:r>
      <w:r w:rsidR="008C64E7">
        <w:t xml:space="preserve">”De Syv Dødssynder”. Eleverne får kendskab </w:t>
      </w:r>
      <w:r w:rsidR="00933CFA">
        <w:t>til</w:t>
      </w:r>
      <w:r w:rsidR="008C64E7">
        <w:t xml:space="preserve"> begrebet synd og dets modsætning dyd. Modsætningspar sættes op som fx hovmod </w:t>
      </w:r>
      <w:proofErr w:type="spellStart"/>
      <w:r w:rsidR="008C64E7">
        <w:t>vs</w:t>
      </w:r>
      <w:proofErr w:type="spellEnd"/>
      <w:r w:rsidR="008C64E7">
        <w:t xml:space="preserve"> ydmyghed. Symboler</w:t>
      </w:r>
      <w:r w:rsidR="00933CFA">
        <w:t xml:space="preserve"> fx</w:t>
      </w:r>
      <w:r w:rsidR="008C64E7">
        <w:t xml:space="preserve"> i form af forskellige dyr</w:t>
      </w:r>
      <w:r w:rsidR="00933CFA">
        <w:t>,</w:t>
      </w:r>
      <w:r w:rsidR="008C64E7">
        <w:t xml:space="preserve"> som repræsenterer lasterne diskuteres. Det diskuteres om fx vrede må komme til udtryk. Elevernes overraskende konklusion på denne lektion er, at synd også er nødvendig for</w:t>
      </w:r>
      <w:r w:rsidR="00933CFA">
        <w:t>,</w:t>
      </w:r>
      <w:r w:rsidR="008C64E7">
        <w:t xml:space="preserve"> at der kan ske fremdrift. </w:t>
      </w:r>
      <w:r w:rsidR="00581B20">
        <w:t>Eleverne opfordres til at bemærke</w:t>
      </w:r>
      <w:r w:rsidR="00933CFA">
        <w:t>,</w:t>
      </w:r>
      <w:r w:rsidR="00581B20">
        <w:t xml:space="preserve"> hvor de møder udtryk for synderne i den kommende uge.</w:t>
      </w:r>
      <w:r w:rsidR="008C64E7">
        <w:t xml:space="preserve"> </w:t>
      </w:r>
    </w:p>
    <w:p w:rsidR="00A279FC" w:rsidRDefault="00100C81" w:rsidP="00B16A87">
      <w:pPr>
        <w:tabs>
          <w:tab w:val="left" w:pos="2471"/>
        </w:tabs>
      </w:pPr>
      <w:r>
        <w:t>Gennem s</w:t>
      </w:r>
      <w:r w:rsidR="00203BFC">
        <w:t>amtaler med lærere og lede</w:t>
      </w:r>
      <w:r w:rsidR="00A279FC">
        <w:t>r</w:t>
      </w:r>
      <w:r w:rsidR="00203BFC">
        <w:t xml:space="preserve"> </w:t>
      </w:r>
      <w:r>
        <w:t xml:space="preserve">får jeg det indtryk, at </w:t>
      </w:r>
      <w:r w:rsidR="00581B20">
        <w:t>positive fremskridt</w:t>
      </w:r>
      <w:r>
        <w:t xml:space="preserve"> for skolen som helhed</w:t>
      </w:r>
      <w:r w:rsidR="009B32AF">
        <w:t xml:space="preserve"> </w:t>
      </w:r>
      <w:r>
        <w:t>er central</w:t>
      </w:r>
      <w:r w:rsidR="0029074C">
        <w:t>t</w:t>
      </w:r>
      <w:r w:rsidR="00A279FC">
        <w:t>.</w:t>
      </w:r>
    </w:p>
    <w:p w:rsidR="00203BFC" w:rsidRDefault="00F0407E" w:rsidP="00B16A87">
      <w:pPr>
        <w:tabs>
          <w:tab w:val="left" w:pos="2471"/>
        </w:tabs>
      </w:pPr>
      <w:r>
        <w:t>Undervisningssproget er dansk, undtagen i sprogfag.</w:t>
      </w:r>
    </w:p>
    <w:p w:rsidR="00CA76FB" w:rsidRDefault="00CA76FB" w:rsidP="00CA76FB">
      <w:pPr>
        <w:shd w:val="clear" w:color="auto" w:fill="D9D9D9" w:themeFill="background1" w:themeFillShade="D9"/>
        <w:tabs>
          <w:tab w:val="left" w:pos="2471"/>
        </w:tabs>
      </w:pPr>
      <w:r>
        <w:t xml:space="preserve">Tilsynets sammenfatning                                        </w:t>
      </w:r>
    </w:p>
    <w:p w:rsidR="006E41C2" w:rsidRDefault="00581B20" w:rsidP="006E41C2">
      <w:pPr>
        <w:tabs>
          <w:tab w:val="left" w:pos="2471"/>
        </w:tabs>
      </w:pPr>
      <w:r>
        <w:t>I den daglige undervisning</w:t>
      </w:r>
      <w:r w:rsidR="00351516">
        <w:t xml:space="preserve"> udfordres</w:t>
      </w:r>
      <w:r w:rsidR="007E46E2">
        <w:t xml:space="preserve"> elevernes</w:t>
      </w:r>
      <w:r w:rsidR="006E41C2">
        <w:t xml:space="preserve"> viden og forståelse</w:t>
      </w:r>
      <w:r w:rsidR="007E46E2">
        <w:t>.</w:t>
      </w:r>
      <w:r w:rsidR="006E41C2">
        <w:t xml:space="preserve"> </w:t>
      </w:r>
      <w:r w:rsidR="007E46E2">
        <w:t xml:space="preserve">Eleverne irettesættes venligt og forståeligt. Fx ”Man kalder ikke hinanden for grimme ord. Det er der ingen, der bryder sig om.” Den tilgang fremmer, at eleverne kan </w:t>
      </w:r>
      <w:r w:rsidR="006E41C2">
        <w:t>opleve sig som en del af et fællesskab</w:t>
      </w:r>
      <w:r w:rsidR="007E46E2">
        <w:t>.</w:t>
      </w:r>
      <w:r>
        <w:t xml:space="preserve"> </w:t>
      </w:r>
      <w:r w:rsidR="007E46E2">
        <w:t>Der er således</w:t>
      </w:r>
      <w:r w:rsidR="006E41C2">
        <w:t xml:space="preserve"> </w:t>
      </w:r>
      <w:r>
        <w:t>s</w:t>
      </w:r>
      <w:r>
        <w:t>ammenhæng mellem skolens formulerede intentioner og den daglige praksis</w:t>
      </w:r>
      <w:r>
        <w:t>.</w:t>
      </w:r>
    </w:p>
    <w:p w:rsidR="006E41C2" w:rsidRDefault="006E41C2" w:rsidP="00DA3849">
      <w:pPr>
        <w:autoSpaceDE w:val="0"/>
        <w:autoSpaceDN w:val="0"/>
        <w:adjustRightInd w:val="0"/>
        <w:spacing w:after="0"/>
      </w:pPr>
      <w:r>
        <w:t>U</w:t>
      </w:r>
      <w:r w:rsidR="00AB33E5">
        <w:t>d fra en helhedsvurdering</w:t>
      </w:r>
      <w:r w:rsidR="00DA3849">
        <w:t xml:space="preserve"> stå</w:t>
      </w:r>
      <w:r w:rsidR="005D223C">
        <w:t>r</w:t>
      </w:r>
      <w:r w:rsidR="00AB33E5">
        <w:t xml:space="preserve"> </w:t>
      </w:r>
      <w:r>
        <w:t xml:space="preserve">skolens undervisning </w:t>
      </w:r>
      <w:r w:rsidR="00AB33E5">
        <w:t>mål med</w:t>
      </w:r>
      <w:r w:rsidR="00DA3849">
        <w:t xml:space="preserve">, </w:t>
      </w:r>
      <w:r w:rsidR="00AB33E5">
        <w:t xml:space="preserve">hvad </w:t>
      </w:r>
      <w:r w:rsidR="00DA3849">
        <w:t>der almind</w:t>
      </w:r>
      <w:r w:rsidR="00AB33E5">
        <w:t>eligvis kræves i</w:t>
      </w:r>
      <w:r w:rsidR="00752C2B">
        <w:t xml:space="preserve"> folkeskolen</w:t>
      </w:r>
      <w:r w:rsidR="00AB33E5">
        <w:t>.</w:t>
      </w:r>
      <w:r w:rsidR="005D223C">
        <w:t xml:space="preserve"> </w:t>
      </w:r>
      <w:r w:rsidR="007E46E2">
        <w:t xml:space="preserve">Piger og drenge arbejder sammen i skolen, eleverne høres i undervisningen og i frikvartererne. De lever med på skolen, </w:t>
      </w:r>
      <w:r>
        <w:t xml:space="preserve">som </w:t>
      </w:r>
      <w:r w:rsidR="007E46E2">
        <w:t xml:space="preserve">herigennem </w:t>
      </w:r>
      <w:r>
        <w:t>medvirker til at forberede eleverne til at leve i et samfund som det danske med frihed og folkestyre</w:t>
      </w:r>
    </w:p>
    <w:p w:rsidR="006E41C2" w:rsidRDefault="006E41C2" w:rsidP="006E41C2">
      <w:pPr>
        <w:autoSpaceDE w:val="0"/>
        <w:autoSpaceDN w:val="0"/>
        <w:adjustRightInd w:val="0"/>
        <w:spacing w:after="0"/>
      </w:pPr>
    </w:p>
    <w:p w:rsidR="00457885" w:rsidRDefault="006E41C2" w:rsidP="00457885">
      <w:pPr>
        <w:autoSpaceDE w:val="0"/>
        <w:autoSpaceDN w:val="0"/>
        <w:adjustRightInd w:val="0"/>
        <w:spacing w:after="0"/>
      </w:pPr>
      <w:r>
        <w:t xml:space="preserve">Skanderborg den </w:t>
      </w:r>
      <w:r w:rsidR="007E46E2">
        <w:t>23</w:t>
      </w:r>
      <w:r>
        <w:t>.4.2019</w:t>
      </w:r>
    </w:p>
    <w:p w:rsidR="00457885" w:rsidRDefault="00457885" w:rsidP="00457885">
      <w:pPr>
        <w:autoSpaceDE w:val="0"/>
        <w:autoSpaceDN w:val="0"/>
        <w:adjustRightInd w:val="0"/>
        <w:spacing w:after="0"/>
      </w:pPr>
    </w:p>
    <w:p w:rsidR="00E2199B" w:rsidRDefault="00DA3849" w:rsidP="007474D6">
      <w:pPr>
        <w:autoSpaceDE w:val="0"/>
        <w:autoSpaceDN w:val="0"/>
        <w:adjustRightInd w:val="0"/>
        <w:spacing w:after="0"/>
      </w:pPr>
      <w:r>
        <w:t>Dot Reinau</w:t>
      </w:r>
      <w:r w:rsidR="009501EE" w:rsidRPr="009501EE">
        <w:t xml:space="preserve"> </w:t>
      </w:r>
    </w:p>
    <w:p w:rsidR="00907D00" w:rsidRPr="009854EE" w:rsidRDefault="00907D00" w:rsidP="00457885">
      <w:pPr>
        <w:autoSpaceDE w:val="0"/>
        <w:autoSpaceDN w:val="0"/>
        <w:adjustRightInd w:val="0"/>
        <w:spacing w:after="0"/>
      </w:pPr>
      <w:bookmarkStart w:id="1" w:name="_GoBack"/>
      <w:bookmarkEnd w:id="1"/>
    </w:p>
    <w:sectPr w:rsidR="00907D00" w:rsidRPr="009854EE" w:rsidSect="0045788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0C"/>
    <w:rsid w:val="00023629"/>
    <w:rsid w:val="00026652"/>
    <w:rsid w:val="00037860"/>
    <w:rsid w:val="00074205"/>
    <w:rsid w:val="00080A59"/>
    <w:rsid w:val="00081F9C"/>
    <w:rsid w:val="00083D14"/>
    <w:rsid w:val="00084D87"/>
    <w:rsid w:val="000A2528"/>
    <w:rsid w:val="000F132F"/>
    <w:rsid w:val="00100C81"/>
    <w:rsid w:val="0012705C"/>
    <w:rsid w:val="00184D98"/>
    <w:rsid w:val="00194AE8"/>
    <w:rsid w:val="00197F34"/>
    <w:rsid w:val="001A369F"/>
    <w:rsid w:val="001E0626"/>
    <w:rsid w:val="001F34C5"/>
    <w:rsid w:val="002000AB"/>
    <w:rsid w:val="00203BFC"/>
    <w:rsid w:val="002165AB"/>
    <w:rsid w:val="00240DEB"/>
    <w:rsid w:val="002801A9"/>
    <w:rsid w:val="0029074C"/>
    <w:rsid w:val="002A53CA"/>
    <w:rsid w:val="002F0B43"/>
    <w:rsid w:val="002F5B31"/>
    <w:rsid w:val="003024D1"/>
    <w:rsid w:val="00351516"/>
    <w:rsid w:val="00391A34"/>
    <w:rsid w:val="003C6875"/>
    <w:rsid w:val="003E2DAF"/>
    <w:rsid w:val="003F5249"/>
    <w:rsid w:val="00432A52"/>
    <w:rsid w:val="00457885"/>
    <w:rsid w:val="004A0FEE"/>
    <w:rsid w:val="005411C4"/>
    <w:rsid w:val="00575C23"/>
    <w:rsid w:val="00581B20"/>
    <w:rsid w:val="005869F6"/>
    <w:rsid w:val="005A5005"/>
    <w:rsid w:val="005C6B7D"/>
    <w:rsid w:val="005D223C"/>
    <w:rsid w:val="005D43A3"/>
    <w:rsid w:val="00600151"/>
    <w:rsid w:val="00603A84"/>
    <w:rsid w:val="006047A5"/>
    <w:rsid w:val="00611B0E"/>
    <w:rsid w:val="00641342"/>
    <w:rsid w:val="006D197D"/>
    <w:rsid w:val="006E41C2"/>
    <w:rsid w:val="0071190E"/>
    <w:rsid w:val="007379D5"/>
    <w:rsid w:val="007474D6"/>
    <w:rsid w:val="00752C2B"/>
    <w:rsid w:val="00770ED2"/>
    <w:rsid w:val="00785FA8"/>
    <w:rsid w:val="007B39A5"/>
    <w:rsid w:val="007C05D8"/>
    <w:rsid w:val="007E46E2"/>
    <w:rsid w:val="00865D82"/>
    <w:rsid w:val="0086725A"/>
    <w:rsid w:val="00891976"/>
    <w:rsid w:val="008B6A9C"/>
    <w:rsid w:val="008C64E7"/>
    <w:rsid w:val="008D2932"/>
    <w:rsid w:val="00907D00"/>
    <w:rsid w:val="00912792"/>
    <w:rsid w:val="00916BE9"/>
    <w:rsid w:val="00924164"/>
    <w:rsid w:val="00933CFA"/>
    <w:rsid w:val="00946973"/>
    <w:rsid w:val="009501EE"/>
    <w:rsid w:val="009634CA"/>
    <w:rsid w:val="0097266C"/>
    <w:rsid w:val="00983349"/>
    <w:rsid w:val="009854EE"/>
    <w:rsid w:val="009929F7"/>
    <w:rsid w:val="009B32AF"/>
    <w:rsid w:val="009F50D7"/>
    <w:rsid w:val="00A219AB"/>
    <w:rsid w:val="00A279FC"/>
    <w:rsid w:val="00A30ED1"/>
    <w:rsid w:val="00A323D9"/>
    <w:rsid w:val="00A74708"/>
    <w:rsid w:val="00A86EB7"/>
    <w:rsid w:val="00AA2869"/>
    <w:rsid w:val="00AB33E5"/>
    <w:rsid w:val="00B16A87"/>
    <w:rsid w:val="00B245D6"/>
    <w:rsid w:val="00B43316"/>
    <w:rsid w:val="00B91B41"/>
    <w:rsid w:val="00BA7D27"/>
    <w:rsid w:val="00C77BB7"/>
    <w:rsid w:val="00C803DA"/>
    <w:rsid w:val="00C90790"/>
    <w:rsid w:val="00CA76FB"/>
    <w:rsid w:val="00CD186D"/>
    <w:rsid w:val="00CD5EBC"/>
    <w:rsid w:val="00D30CF5"/>
    <w:rsid w:val="00DA3849"/>
    <w:rsid w:val="00E2199B"/>
    <w:rsid w:val="00E2380C"/>
    <w:rsid w:val="00E27705"/>
    <w:rsid w:val="00E375B2"/>
    <w:rsid w:val="00E42CC6"/>
    <w:rsid w:val="00E633C8"/>
    <w:rsid w:val="00E67358"/>
    <w:rsid w:val="00E8331A"/>
    <w:rsid w:val="00E92FDF"/>
    <w:rsid w:val="00E97B9F"/>
    <w:rsid w:val="00F0407E"/>
    <w:rsid w:val="00F22A37"/>
    <w:rsid w:val="00F76E2C"/>
    <w:rsid w:val="00FC3CE6"/>
    <w:rsid w:val="00FC73B0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176B"/>
  <w15:docId w15:val="{8DB7259A-4333-40A2-B7B9-A7F96BB5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A9"/>
  </w:style>
  <w:style w:type="paragraph" w:styleId="Overskrift1">
    <w:name w:val="heading 1"/>
    <w:basedOn w:val="Normal"/>
    <w:next w:val="Normal"/>
    <w:link w:val="Overskrift1Tegn"/>
    <w:uiPriority w:val="9"/>
    <w:qFormat/>
    <w:rsid w:val="0077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2000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97B9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8F87-5541-40BC-8AAD-586DE93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587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 Reinau</dc:creator>
  <cp:lastModifiedBy>Andelsbolig Søblink</cp:lastModifiedBy>
  <cp:revision>5</cp:revision>
  <cp:lastPrinted>2019-04-24T18:57:00Z</cp:lastPrinted>
  <dcterms:created xsi:type="dcterms:W3CDTF">2019-04-24T09:27:00Z</dcterms:created>
  <dcterms:modified xsi:type="dcterms:W3CDTF">2019-04-24T19:06:00Z</dcterms:modified>
</cp:coreProperties>
</file>